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B2" w:rsidRDefault="00593FB2" w:rsidP="004F5AF9">
      <w:pPr>
        <w:rPr>
          <w:rFonts w:ascii="Arial" w:hAnsi="Arial" w:cs="Arial"/>
          <w:b/>
          <w:bCs/>
        </w:rPr>
      </w:pPr>
      <w:r>
        <w:rPr>
          <w:rFonts w:ascii="Arial" w:hAnsi="Arial" w:cs="Arial"/>
          <w:b/>
          <w:bCs/>
        </w:rPr>
        <w:t>TechLaw Board Conference Call</w:t>
      </w:r>
    </w:p>
    <w:p w:rsidR="00593FB2" w:rsidRDefault="00593FB2" w:rsidP="004F5AF9">
      <w:pPr>
        <w:rPr>
          <w:rFonts w:ascii="Arial" w:hAnsi="Arial" w:cs="Arial"/>
          <w:b/>
          <w:bCs/>
        </w:rPr>
      </w:pPr>
    </w:p>
    <w:p w:rsidR="00593FB2" w:rsidRDefault="00593FB2" w:rsidP="004F5AF9">
      <w:pPr>
        <w:rPr>
          <w:rFonts w:ascii="Arial" w:hAnsi="Arial" w:cs="Arial"/>
          <w:b/>
          <w:bCs/>
        </w:rPr>
      </w:pPr>
      <w:r>
        <w:rPr>
          <w:rFonts w:ascii="Arial" w:hAnsi="Arial" w:cs="Arial"/>
          <w:b/>
          <w:bCs/>
        </w:rPr>
        <w:t>Minutes Monday, March 18, 2011 at 10 a.m. Eastern</w:t>
      </w:r>
    </w:p>
    <w:p w:rsidR="00593FB2" w:rsidRDefault="00593FB2" w:rsidP="004F5AF9">
      <w:pPr>
        <w:rPr>
          <w:rFonts w:ascii="Arial" w:hAnsi="Arial" w:cs="Arial"/>
          <w:b/>
          <w:bCs/>
        </w:rPr>
      </w:pPr>
    </w:p>
    <w:p w:rsidR="00593FB2" w:rsidRDefault="00593FB2" w:rsidP="004F5AF9">
      <w:pPr>
        <w:rPr>
          <w:rFonts w:ascii="Arial" w:hAnsi="Arial" w:cs="Arial"/>
          <w:b/>
          <w:bCs/>
        </w:rPr>
      </w:pPr>
      <w:r>
        <w:rPr>
          <w:rFonts w:ascii="Arial" w:hAnsi="Arial" w:cs="Arial"/>
          <w:b/>
          <w:bCs/>
        </w:rPr>
        <w:t>ROLL CALL</w:t>
      </w:r>
    </w:p>
    <w:p w:rsidR="00593FB2" w:rsidRDefault="00593FB2" w:rsidP="004F5AF9">
      <w:pPr>
        <w:rPr>
          <w:rFonts w:ascii="Arial" w:hAnsi="Arial" w:cs="Arial"/>
          <w:b/>
          <w:bCs/>
        </w:rPr>
      </w:pPr>
    </w:p>
    <w:p w:rsidR="00593FB2" w:rsidRPr="00542C1B" w:rsidRDefault="00593FB2" w:rsidP="00B87195">
      <w:pPr>
        <w:rPr>
          <w:rFonts w:ascii="Arial" w:hAnsi="Arial" w:cs="Arial"/>
          <w:b/>
        </w:rPr>
      </w:pPr>
      <w:r>
        <w:rPr>
          <w:rFonts w:ascii="Arial" w:hAnsi="Arial" w:cs="Arial"/>
          <w:b/>
        </w:rPr>
        <w:t>P</w:t>
      </w:r>
      <w:r w:rsidRPr="00542C1B">
        <w:rPr>
          <w:rFonts w:ascii="Arial" w:hAnsi="Arial" w:cs="Arial"/>
          <w:b/>
        </w:rPr>
        <w:t xml:space="preserve">articipating: </w:t>
      </w:r>
    </w:p>
    <w:p w:rsidR="00593FB2" w:rsidRPr="00542C1B" w:rsidRDefault="00593FB2" w:rsidP="00B87195">
      <w:pPr>
        <w:ind w:left="720"/>
        <w:rPr>
          <w:rFonts w:ascii="Arial" w:hAnsi="Arial" w:cs="Arial"/>
        </w:rPr>
      </w:pPr>
      <w:r w:rsidRPr="00542C1B">
        <w:rPr>
          <w:rFonts w:ascii="Arial" w:hAnsi="Arial" w:cs="Arial"/>
        </w:rPr>
        <w:t>Arthur Cox – John Menton,</w:t>
      </w:r>
      <w:r>
        <w:rPr>
          <w:rFonts w:ascii="Arial" w:hAnsi="Arial" w:cs="Arial"/>
        </w:rPr>
        <w:t xml:space="preserve"> Patrick McGovern</w:t>
      </w:r>
    </w:p>
    <w:p w:rsidR="00593FB2" w:rsidRPr="00542C1B" w:rsidRDefault="00593FB2" w:rsidP="00B87195">
      <w:pPr>
        <w:ind w:left="720"/>
        <w:rPr>
          <w:rFonts w:ascii="Arial" w:hAnsi="Arial" w:cs="Arial"/>
        </w:rPr>
      </w:pPr>
      <w:r w:rsidRPr="00542C1B">
        <w:rPr>
          <w:rFonts w:ascii="Arial" w:hAnsi="Arial" w:cs="Arial"/>
        </w:rPr>
        <w:t>Barnes &amp; Thornburg – Paul Hunt</w:t>
      </w:r>
    </w:p>
    <w:p w:rsidR="00593FB2" w:rsidRPr="00542C1B" w:rsidRDefault="00593FB2" w:rsidP="00B87195">
      <w:pPr>
        <w:ind w:left="720"/>
        <w:rPr>
          <w:rFonts w:ascii="Arial" w:hAnsi="Arial" w:cs="Arial"/>
        </w:rPr>
      </w:pPr>
      <w:r w:rsidRPr="00542C1B">
        <w:rPr>
          <w:rFonts w:ascii="Arial" w:hAnsi="Arial" w:cs="Arial"/>
        </w:rPr>
        <w:t>Blake, Cassels &amp; Graydon –</w:t>
      </w:r>
      <w:r>
        <w:rPr>
          <w:rFonts w:ascii="Arial" w:hAnsi="Arial" w:cs="Arial"/>
        </w:rPr>
        <w:t xml:space="preserve"> Richard Corley</w:t>
      </w:r>
    </w:p>
    <w:p w:rsidR="00593FB2" w:rsidRDefault="00593FB2" w:rsidP="00B40352">
      <w:pPr>
        <w:ind w:firstLine="709"/>
        <w:rPr>
          <w:rFonts w:ascii="Arial" w:hAnsi="Arial" w:cs="Arial"/>
        </w:rPr>
      </w:pPr>
      <w:r w:rsidRPr="00542C1B">
        <w:rPr>
          <w:rFonts w:ascii="Arial" w:hAnsi="Arial" w:cs="Arial"/>
        </w:rPr>
        <w:t>Dorsey &amp; Whitney – Nelson Dong</w:t>
      </w:r>
      <w:r w:rsidRPr="0061638C">
        <w:rPr>
          <w:rFonts w:ascii="Arial" w:hAnsi="Arial" w:cs="Arial"/>
        </w:rPr>
        <w:t xml:space="preserve"> </w:t>
      </w:r>
    </w:p>
    <w:p w:rsidR="00593FB2" w:rsidRPr="00542C1B" w:rsidRDefault="00593FB2" w:rsidP="00B87195">
      <w:pPr>
        <w:ind w:left="720"/>
        <w:rPr>
          <w:rFonts w:ascii="Arial" w:hAnsi="Arial" w:cs="Arial"/>
        </w:rPr>
      </w:pPr>
      <w:r>
        <w:rPr>
          <w:rFonts w:ascii="Arial" w:hAnsi="Arial" w:cs="Arial"/>
        </w:rPr>
        <w:t>Fenwick &amp; West – Ralph Pais</w:t>
      </w:r>
    </w:p>
    <w:p w:rsidR="00593FB2" w:rsidRPr="00542C1B" w:rsidRDefault="00593FB2" w:rsidP="00B87195">
      <w:pPr>
        <w:ind w:left="720"/>
        <w:rPr>
          <w:rFonts w:ascii="Arial" w:hAnsi="Arial" w:cs="Arial"/>
        </w:rPr>
      </w:pPr>
      <w:r w:rsidRPr="00542C1B">
        <w:rPr>
          <w:rFonts w:ascii="Arial" w:hAnsi="Arial" w:cs="Arial"/>
        </w:rPr>
        <w:t>Gom</w:t>
      </w:r>
      <w:r>
        <w:rPr>
          <w:rFonts w:ascii="Arial" w:hAnsi="Arial" w:cs="Arial"/>
        </w:rPr>
        <w:t>ez-Acebo &amp; Pombo – Eduardo Castillo</w:t>
      </w:r>
    </w:p>
    <w:p w:rsidR="00593FB2" w:rsidRPr="00542C1B" w:rsidRDefault="00593FB2" w:rsidP="00B87195">
      <w:pPr>
        <w:ind w:left="720"/>
        <w:rPr>
          <w:rFonts w:ascii="Arial" w:hAnsi="Arial" w:cs="Arial"/>
        </w:rPr>
      </w:pPr>
      <w:r>
        <w:rPr>
          <w:rFonts w:ascii="Arial" w:hAnsi="Arial" w:cs="Arial"/>
        </w:rPr>
        <w:t>Haynes and Boone –   David McCombs</w:t>
      </w:r>
    </w:p>
    <w:p w:rsidR="00593FB2" w:rsidRPr="00542C1B" w:rsidRDefault="00593FB2" w:rsidP="00B87195">
      <w:pPr>
        <w:ind w:firstLine="720"/>
        <w:rPr>
          <w:rFonts w:ascii="Arial" w:hAnsi="Arial" w:cs="Arial"/>
        </w:rPr>
      </w:pPr>
      <w:r w:rsidRPr="00542C1B">
        <w:rPr>
          <w:rFonts w:ascii="Arial" w:hAnsi="Arial" w:cs="Arial"/>
        </w:rPr>
        <w:t>Houthoff Buruma – Wolter Wefers Bettink</w:t>
      </w:r>
    </w:p>
    <w:p w:rsidR="00593FB2" w:rsidRPr="007F43D3" w:rsidRDefault="00593FB2" w:rsidP="00B87195">
      <w:pPr>
        <w:ind w:left="720"/>
        <w:rPr>
          <w:rFonts w:ascii="Arial" w:hAnsi="Arial" w:cs="Arial"/>
        </w:rPr>
      </w:pPr>
      <w:r w:rsidRPr="00542C1B">
        <w:rPr>
          <w:rFonts w:ascii="Arial" w:hAnsi="Arial" w:cs="Arial"/>
        </w:rPr>
        <w:t>Nutter McC</w:t>
      </w:r>
      <w:r>
        <w:rPr>
          <w:rFonts w:ascii="Arial" w:hAnsi="Arial" w:cs="Arial"/>
        </w:rPr>
        <w:t xml:space="preserve">lennen &amp; Fish – </w:t>
      </w:r>
      <w:r w:rsidRPr="00542C1B">
        <w:rPr>
          <w:rFonts w:ascii="Arial" w:hAnsi="Arial" w:cs="Arial"/>
        </w:rPr>
        <w:t>Nelson Apjohn</w:t>
      </w:r>
    </w:p>
    <w:p w:rsidR="00593FB2" w:rsidRPr="00E51874" w:rsidRDefault="00593FB2" w:rsidP="00B87195">
      <w:pPr>
        <w:ind w:firstLine="709"/>
        <w:rPr>
          <w:rFonts w:ascii="Arial" w:hAnsi="Arial" w:cs="Arial"/>
          <w:lang w:val="pt-BR"/>
        </w:rPr>
      </w:pPr>
      <w:r>
        <w:rPr>
          <w:rFonts w:ascii="Arial" w:hAnsi="Arial" w:cs="Arial"/>
          <w:lang w:val="pt-BR"/>
        </w:rPr>
        <w:t>Plesner – Niels Ellegaard</w:t>
      </w:r>
    </w:p>
    <w:p w:rsidR="00593FB2" w:rsidRDefault="00593FB2" w:rsidP="00B40352">
      <w:pPr>
        <w:ind w:firstLine="709"/>
        <w:rPr>
          <w:rFonts w:ascii="Arial" w:hAnsi="Arial" w:cs="Arial"/>
          <w:lang w:val="pt-BR"/>
        </w:rPr>
      </w:pPr>
      <w:r w:rsidRPr="00542C1B">
        <w:rPr>
          <w:rFonts w:ascii="Arial" w:hAnsi="Arial" w:cs="Arial"/>
          <w:lang w:val="pt-BR"/>
        </w:rPr>
        <w:t>Pinheiro Neto – Raphael de Cunto</w:t>
      </w:r>
    </w:p>
    <w:p w:rsidR="00593FB2" w:rsidRPr="00542C1B" w:rsidRDefault="00593FB2" w:rsidP="00B40352">
      <w:pPr>
        <w:ind w:firstLine="720"/>
        <w:rPr>
          <w:rFonts w:ascii="Arial" w:hAnsi="Arial" w:cs="Arial"/>
        </w:rPr>
      </w:pPr>
      <w:r w:rsidRPr="00542C1B">
        <w:rPr>
          <w:rFonts w:ascii="Arial" w:hAnsi="Arial" w:cs="Arial"/>
        </w:rPr>
        <w:t>Reed Smith – Fred Colen</w:t>
      </w:r>
    </w:p>
    <w:p w:rsidR="00593FB2" w:rsidRPr="00542C1B" w:rsidRDefault="00593FB2" w:rsidP="00B40352">
      <w:pPr>
        <w:ind w:left="720"/>
        <w:rPr>
          <w:rFonts w:ascii="Arial" w:hAnsi="Arial" w:cs="Arial"/>
        </w:rPr>
      </w:pPr>
      <w:r w:rsidRPr="00542C1B">
        <w:rPr>
          <w:rFonts w:ascii="Arial" w:hAnsi="Arial" w:cs="Arial"/>
        </w:rPr>
        <w:t>Taylor Wessing – Andreas Meissner</w:t>
      </w:r>
    </w:p>
    <w:p w:rsidR="00593FB2" w:rsidRPr="00542C1B" w:rsidRDefault="00593FB2" w:rsidP="00B40352">
      <w:pPr>
        <w:ind w:left="709"/>
        <w:rPr>
          <w:rFonts w:ascii="Arial" w:hAnsi="Arial" w:cs="Arial"/>
          <w:lang w:val="it-IT"/>
        </w:rPr>
      </w:pPr>
      <w:r w:rsidRPr="00542C1B">
        <w:rPr>
          <w:rFonts w:ascii="Arial" w:hAnsi="Arial" w:cs="Arial"/>
          <w:lang w:val="it-IT"/>
        </w:rPr>
        <w:t>Tonucci &amp; Partners  – Alessandro Vasta</w:t>
      </w:r>
    </w:p>
    <w:p w:rsidR="00593FB2" w:rsidRDefault="00593FB2" w:rsidP="00B87195">
      <w:pPr>
        <w:autoSpaceDE w:val="0"/>
        <w:autoSpaceDN w:val="0"/>
        <w:adjustRightInd w:val="0"/>
        <w:ind w:firstLine="720"/>
        <w:rPr>
          <w:rFonts w:ascii="Arial" w:hAnsi="Arial" w:cs="Arial"/>
        </w:rPr>
      </w:pPr>
      <w:r>
        <w:rPr>
          <w:rFonts w:ascii="Arial" w:hAnsi="Arial" w:cs="Arial"/>
        </w:rPr>
        <w:t xml:space="preserve">Yulchon - Young-Hill Liew </w:t>
      </w:r>
    </w:p>
    <w:p w:rsidR="00593FB2" w:rsidRDefault="00593FB2" w:rsidP="00B87195">
      <w:pPr>
        <w:autoSpaceDE w:val="0"/>
        <w:autoSpaceDN w:val="0"/>
        <w:adjustRightInd w:val="0"/>
        <w:ind w:firstLine="720"/>
        <w:rPr>
          <w:rFonts w:ascii="Arial" w:hAnsi="Arial" w:cs="Arial"/>
        </w:rPr>
      </w:pPr>
    </w:p>
    <w:p w:rsidR="00593FB2" w:rsidRDefault="00593FB2" w:rsidP="00B87195">
      <w:pPr>
        <w:ind w:left="720"/>
        <w:rPr>
          <w:rFonts w:ascii="Arial" w:hAnsi="Arial" w:cs="Arial"/>
        </w:rPr>
      </w:pPr>
      <w:r w:rsidRPr="00542C1B">
        <w:rPr>
          <w:rFonts w:ascii="Arial" w:hAnsi="Arial" w:cs="Arial"/>
          <w:b/>
        </w:rPr>
        <w:t>TechLaw Group</w:t>
      </w:r>
      <w:r w:rsidRPr="00542C1B">
        <w:rPr>
          <w:rFonts w:ascii="Arial" w:hAnsi="Arial" w:cs="Arial"/>
        </w:rPr>
        <w:t xml:space="preserve"> – Lisa Hood Skinner;</w:t>
      </w:r>
      <w:r>
        <w:rPr>
          <w:rFonts w:ascii="Arial" w:hAnsi="Arial" w:cs="Arial"/>
        </w:rPr>
        <w:t xml:space="preserve"> Pat Staats </w:t>
      </w:r>
    </w:p>
    <w:p w:rsidR="00593FB2" w:rsidRPr="00542C1B" w:rsidRDefault="00593FB2" w:rsidP="00B87195">
      <w:pPr>
        <w:ind w:left="720"/>
        <w:rPr>
          <w:rFonts w:ascii="Arial" w:hAnsi="Arial" w:cs="Arial"/>
        </w:rPr>
      </w:pPr>
    </w:p>
    <w:p w:rsidR="00593FB2" w:rsidRPr="00542C1B" w:rsidRDefault="00593FB2" w:rsidP="00B87195">
      <w:pPr>
        <w:ind w:left="720"/>
        <w:rPr>
          <w:rFonts w:ascii="Arial" w:hAnsi="Arial" w:cs="Arial"/>
          <w:b/>
        </w:rPr>
      </w:pPr>
      <w:r w:rsidRPr="00542C1B">
        <w:rPr>
          <w:rFonts w:ascii="Arial" w:hAnsi="Arial" w:cs="Arial"/>
          <w:b/>
        </w:rPr>
        <w:t>Absent:</w:t>
      </w:r>
    </w:p>
    <w:p w:rsidR="00593FB2" w:rsidRDefault="00593FB2" w:rsidP="00B40352">
      <w:pPr>
        <w:ind w:firstLine="709"/>
        <w:rPr>
          <w:rFonts w:ascii="Arial" w:hAnsi="Arial" w:cs="Arial"/>
        </w:rPr>
      </w:pPr>
      <w:r w:rsidRPr="00542C1B">
        <w:rPr>
          <w:rFonts w:ascii="Arial" w:hAnsi="Arial" w:cs="Arial"/>
        </w:rPr>
        <w:t>Jenner &amp; Block – Richard Gray</w:t>
      </w:r>
    </w:p>
    <w:p w:rsidR="00593FB2" w:rsidRDefault="00593FB2" w:rsidP="00B87195">
      <w:pPr>
        <w:ind w:firstLine="709"/>
        <w:rPr>
          <w:rFonts w:ascii="Arial" w:hAnsi="Arial" w:cs="Arial"/>
        </w:rPr>
      </w:pPr>
      <w:r w:rsidRPr="00542C1B">
        <w:rPr>
          <w:rFonts w:ascii="Arial" w:hAnsi="Arial" w:cs="Arial"/>
        </w:rPr>
        <w:t>Meitar Liquornik Geva &amp; Leshem Brandwein – David Mirchin</w:t>
      </w:r>
    </w:p>
    <w:p w:rsidR="00593FB2" w:rsidRPr="00542C1B" w:rsidRDefault="00593FB2" w:rsidP="00B40352">
      <w:pPr>
        <w:ind w:left="720"/>
        <w:rPr>
          <w:rFonts w:ascii="Arial" w:hAnsi="Arial" w:cs="Arial"/>
        </w:rPr>
      </w:pPr>
      <w:r>
        <w:rPr>
          <w:rFonts w:ascii="Arial" w:hAnsi="Arial" w:cs="Arial"/>
        </w:rPr>
        <w:t xml:space="preserve">SNR </w:t>
      </w:r>
      <w:smartTag w:uri="urn:schemas-microsoft-com:office:smarttags" w:element="City">
        <w:r>
          <w:rPr>
            <w:rFonts w:ascii="Arial" w:hAnsi="Arial" w:cs="Arial"/>
          </w:rPr>
          <w:t>Denton</w:t>
        </w:r>
      </w:smartTag>
      <w:r>
        <w:rPr>
          <w:rFonts w:ascii="Arial" w:hAnsi="Arial" w:cs="Arial"/>
        </w:rPr>
        <w:t xml:space="preserv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LLP</w:t>
      </w:r>
      <w:r w:rsidRPr="00542C1B">
        <w:rPr>
          <w:rFonts w:ascii="Arial" w:hAnsi="Arial" w:cs="Arial"/>
        </w:rPr>
        <w:t>– Stefan Naumann</w:t>
      </w:r>
    </w:p>
    <w:p w:rsidR="00593FB2" w:rsidRDefault="00593FB2" w:rsidP="00B40352">
      <w:pPr>
        <w:autoSpaceDE w:val="0"/>
        <w:autoSpaceDN w:val="0"/>
        <w:adjustRightInd w:val="0"/>
        <w:ind w:firstLine="720"/>
        <w:rPr>
          <w:rFonts w:ascii="Arial" w:hAnsi="Arial" w:cs="Arial"/>
        </w:rPr>
      </w:pPr>
      <w:r w:rsidRPr="00542C1B">
        <w:rPr>
          <w:rFonts w:ascii="Arial" w:hAnsi="Arial" w:cs="Arial"/>
        </w:rPr>
        <w:t>Walder Wyss</w:t>
      </w:r>
      <w:r>
        <w:rPr>
          <w:rFonts w:ascii="Arial" w:hAnsi="Arial" w:cs="Arial"/>
        </w:rPr>
        <w:t xml:space="preserve"> – Didier Sangiorgio</w:t>
      </w:r>
    </w:p>
    <w:p w:rsidR="00593FB2" w:rsidRDefault="00593FB2" w:rsidP="004F5AF9">
      <w:pPr>
        <w:rPr>
          <w:rFonts w:ascii="Arial" w:hAnsi="Arial" w:cs="Arial"/>
          <w:b/>
          <w:bCs/>
        </w:rPr>
      </w:pPr>
    </w:p>
    <w:p w:rsidR="00593FB2" w:rsidRDefault="00593FB2" w:rsidP="008C632E">
      <w:pPr>
        <w:spacing w:before="100" w:after="100"/>
      </w:pPr>
      <w:r>
        <w:rPr>
          <w:rFonts w:ascii="Arial" w:hAnsi="Arial" w:cs="Arial"/>
          <w:b/>
          <w:bCs/>
        </w:rPr>
        <w:t>- Approval of Minutes of the Board Meeting of Feb. 14, 2011</w:t>
      </w:r>
      <w:r>
        <w:rPr>
          <w:rFonts w:ascii="Arial" w:hAnsi="Arial" w:cs="Arial"/>
        </w:rPr>
        <w:t>: Unanimous.</w:t>
      </w:r>
    </w:p>
    <w:p w:rsidR="00593FB2" w:rsidRDefault="00593FB2" w:rsidP="008C632E">
      <w:pPr>
        <w:spacing w:before="100" w:after="100"/>
      </w:pPr>
      <w:r>
        <w:rPr>
          <w:rFonts w:ascii="Arial" w:hAnsi="Arial" w:cs="Arial"/>
          <w:b/>
          <w:bCs/>
        </w:rPr>
        <w:t>- Member Benefits and Program Committee: Paul Hunt</w:t>
      </w:r>
      <w:r>
        <w:rPr>
          <w:rFonts w:ascii="Arial" w:hAnsi="Arial" w:cs="Arial"/>
        </w:rPr>
        <w:t xml:space="preserve">. </w:t>
      </w:r>
    </w:p>
    <w:p w:rsidR="00593FB2" w:rsidRDefault="00593FB2" w:rsidP="008C632E">
      <w:pPr>
        <w:spacing w:before="100" w:after="100"/>
        <w:rPr>
          <w:rFonts w:ascii="Arial" w:hAnsi="Arial" w:cs="Arial"/>
        </w:rPr>
      </w:pPr>
      <w:r>
        <w:rPr>
          <w:rFonts w:ascii="Arial" w:hAnsi="Arial" w:cs="Arial"/>
        </w:rPr>
        <w:t xml:space="preserve">   - </w:t>
      </w:r>
      <w:r>
        <w:rPr>
          <w:rFonts w:ascii="Arial" w:hAnsi="Arial" w:cs="Arial"/>
          <w:u w:val="single"/>
        </w:rPr>
        <w:t>Paris Spring 2011 Meeting April 27-May 1</w:t>
      </w:r>
      <w:r>
        <w:rPr>
          <w:rFonts w:ascii="Tahoma" w:hAnsi="Tahoma" w:cs="Tahoma"/>
        </w:rPr>
        <w:t>–</w:t>
      </w:r>
      <w:r>
        <w:rPr>
          <w:rFonts w:ascii="Arial" w:hAnsi="Arial" w:cs="Arial"/>
        </w:rPr>
        <w:t xml:space="preserve"> hosted by SNR Denton. Paul Hunt reported the CLE agenda still has openings for three moderators and six speakers. He will distribute a call for assistance in filling out the slots. Several board members immediately committed to various panels, including Richard Corley, Niels Ellegaard, Fred Colen, Nelson Dong, and Young-Hill Liew. Raphael de Cunto volunteered his banking partner Ricardo Russo. Paul and Stefan Naumann will further rework the agenda and report back to the group. Paul asked all speakers please send their PowerPoint presentations to Stefan and </w:t>
      </w:r>
      <w:smartTag w:uri="urn:schemas-microsoft-com:office:smarttags" w:element="place">
        <w:smartTag w:uri="urn:schemas-microsoft-com:office:smarttags" w:element="City">
          <w:r>
            <w:rPr>
              <w:rFonts w:ascii="Arial" w:hAnsi="Arial" w:cs="Arial"/>
            </w:rPr>
            <w:t>Regina</w:t>
          </w:r>
        </w:smartTag>
      </w:smartTag>
      <w:r>
        <w:rPr>
          <w:rFonts w:ascii="Arial" w:hAnsi="Arial" w:cs="Arial"/>
        </w:rPr>
        <w:t xml:space="preserve"> by no later than Wed. April 20.</w:t>
      </w:r>
    </w:p>
    <w:p w:rsidR="00593FB2" w:rsidRDefault="00593FB2" w:rsidP="008C632E">
      <w:pPr>
        <w:spacing w:before="100" w:after="100"/>
        <w:rPr>
          <w:rFonts w:ascii="Arial" w:hAnsi="Arial" w:cs="Arial"/>
        </w:rPr>
      </w:pPr>
      <w:r>
        <w:rPr>
          <w:rFonts w:ascii="Arial" w:hAnsi="Arial" w:cs="Arial"/>
        </w:rPr>
        <w:t>Wolter reminded the group the next board meeting is 2:30-6:30 p.m. Thursday, April 28 at the SNR Denton UK LLP Paris offices, but it might end earlier than 6:30 p.m. (SNR Denton’s cocktail reception at the firm begins at 6:30 p.m. Spouses/guests will be escorted as usual by Dr. Skinner from the hotel lobby to the firm for the cocktail reception, to be followed by the Dutch Treat dinner at the nearby restaurant Chez Francis)</w:t>
      </w:r>
    </w:p>
    <w:p w:rsidR="00593FB2" w:rsidRPr="00FD223D" w:rsidRDefault="00593FB2" w:rsidP="008C632E">
      <w:pPr>
        <w:spacing w:before="100" w:after="100"/>
        <w:rPr>
          <w:rFonts w:ascii="Arial" w:hAnsi="Arial" w:cs="Arial"/>
        </w:rPr>
      </w:pPr>
      <w:r>
        <w:rPr>
          <w:rFonts w:ascii="Arial" w:hAnsi="Arial" w:cs="Arial"/>
        </w:rPr>
        <w:t xml:space="preserve">   </w:t>
      </w:r>
      <w:r w:rsidRPr="00FD223D">
        <w:rPr>
          <w:rFonts w:ascii="Arial" w:hAnsi="Arial" w:cs="Arial"/>
        </w:rPr>
        <w:t xml:space="preserve">- </w:t>
      </w:r>
      <w:r w:rsidRPr="00FD223D">
        <w:rPr>
          <w:rFonts w:ascii="Arial" w:hAnsi="Arial" w:cs="Arial"/>
          <w:u w:val="single"/>
        </w:rPr>
        <w:t xml:space="preserve">Fall 2011 </w:t>
      </w:r>
      <w:smartTag w:uri="urn:schemas-microsoft-com:office:smarttags" w:element="place">
        <w:smartTag w:uri="urn:schemas-microsoft-com:office:smarttags" w:element="City">
          <w:r w:rsidRPr="00FD223D">
            <w:rPr>
              <w:rFonts w:ascii="Arial" w:hAnsi="Arial" w:cs="Arial"/>
              <w:u w:val="single"/>
            </w:rPr>
            <w:t>Pittsburgh</w:t>
          </w:r>
        </w:smartTag>
      </w:smartTag>
      <w:r w:rsidRPr="00FD223D">
        <w:rPr>
          <w:rFonts w:ascii="Arial" w:hAnsi="Arial" w:cs="Arial"/>
          <w:u w:val="single"/>
        </w:rPr>
        <w:t xml:space="preserve"> CLE Meeting, Nov. 10-12- hosted by Reed Smith:</w:t>
      </w:r>
      <w:r w:rsidRPr="00FD223D">
        <w:rPr>
          <w:rFonts w:ascii="Arial" w:hAnsi="Arial" w:cs="Arial"/>
        </w:rPr>
        <w:t xml:space="preserve"> Fred Colen. </w:t>
      </w:r>
      <w:r>
        <w:rPr>
          <w:rFonts w:ascii="Arial" w:hAnsi="Arial" w:cs="Arial"/>
        </w:rPr>
        <w:t>Fred confirmed the dates are</w:t>
      </w:r>
      <w:r w:rsidRPr="00FD223D">
        <w:rPr>
          <w:rFonts w:ascii="Arial" w:hAnsi="Arial" w:cs="Arial"/>
        </w:rPr>
        <w:t xml:space="preserve"> Nov. 10-12, shortened by a day due to the Managing Partners meeting </w:t>
      </w:r>
      <w:r>
        <w:rPr>
          <w:rFonts w:ascii="Arial" w:hAnsi="Arial" w:cs="Arial"/>
        </w:rPr>
        <w:t>now being planned for</w:t>
      </w:r>
      <w:r w:rsidRPr="00FD223D">
        <w:rPr>
          <w:rFonts w:ascii="Arial" w:hAnsi="Arial" w:cs="Arial"/>
        </w:rPr>
        <w:t xml:space="preserve"> Spring 2012 in </w:t>
      </w:r>
      <w:smartTag w:uri="urn:schemas-microsoft-com:office:smarttags" w:element="place">
        <w:smartTag w:uri="urn:schemas-microsoft-com:office:smarttags" w:element="City">
          <w:r w:rsidRPr="00FD223D">
            <w:rPr>
              <w:rFonts w:ascii="Arial" w:hAnsi="Arial" w:cs="Arial"/>
            </w:rPr>
            <w:t>Montreal</w:t>
          </w:r>
        </w:smartTag>
      </w:smartTag>
      <w:r w:rsidRPr="00FD223D">
        <w:rPr>
          <w:rFonts w:ascii="Arial" w:hAnsi="Arial" w:cs="Arial"/>
        </w:rPr>
        <w:t>, hosted by Blakes. Lisa rep</w:t>
      </w:r>
      <w:r>
        <w:rPr>
          <w:rFonts w:ascii="Arial" w:hAnsi="Arial" w:cs="Arial"/>
        </w:rPr>
        <w:t xml:space="preserve">orted that negotiations with </w:t>
      </w:r>
      <w:smartTag w:uri="urn:schemas-microsoft-com:office:smarttags" w:element="place">
        <w:smartTag w:uri="urn:schemas-microsoft-com:office:smarttags" w:element="City">
          <w:r>
            <w:rPr>
              <w:rFonts w:ascii="Arial" w:hAnsi="Arial" w:cs="Arial"/>
            </w:rPr>
            <w:t>Pittsburgh</w:t>
          </w:r>
        </w:smartTag>
      </w:smartTag>
      <w:r>
        <w:rPr>
          <w:rFonts w:ascii="Arial" w:hAnsi="Arial" w:cs="Arial"/>
        </w:rPr>
        <w:t>’s</w:t>
      </w:r>
      <w:r w:rsidRPr="00FD223D">
        <w:rPr>
          <w:rFonts w:ascii="Arial" w:hAnsi="Arial" w:cs="Arial"/>
        </w:rPr>
        <w:t xml:space="preserve"> Fairmont</w:t>
      </w:r>
      <w:r>
        <w:rPr>
          <w:rFonts w:ascii="Arial" w:hAnsi="Arial" w:cs="Arial"/>
        </w:rPr>
        <w:t xml:space="preserve"> Hotel are mostly complete, a maximum convenience since</w:t>
      </w:r>
      <w:r w:rsidRPr="00FD223D">
        <w:rPr>
          <w:rFonts w:ascii="Arial" w:hAnsi="Arial" w:cs="Arial"/>
        </w:rPr>
        <w:t xml:space="preserve"> the hotel </w:t>
      </w:r>
      <w:r>
        <w:rPr>
          <w:rFonts w:ascii="Arial" w:hAnsi="Arial" w:cs="Arial"/>
        </w:rPr>
        <w:t xml:space="preserve">is </w:t>
      </w:r>
      <w:r w:rsidRPr="00FD223D">
        <w:rPr>
          <w:rFonts w:ascii="Arial" w:hAnsi="Arial" w:cs="Arial"/>
        </w:rPr>
        <w:t>in the same building as Reed Smith. Fred is beginning discussions regarding themes/topics a</w:t>
      </w:r>
      <w:r>
        <w:rPr>
          <w:rFonts w:ascii="Arial" w:hAnsi="Arial" w:cs="Arial"/>
        </w:rPr>
        <w:t>nd will bring additional thoughts</w:t>
      </w:r>
      <w:r w:rsidRPr="00FD223D">
        <w:rPr>
          <w:rFonts w:ascii="Arial" w:hAnsi="Arial" w:cs="Arial"/>
        </w:rPr>
        <w:t xml:space="preserve"> to the </w:t>
      </w:r>
      <w:smartTag w:uri="urn:schemas-microsoft-com:office:smarttags" w:element="place">
        <w:smartTag w:uri="urn:schemas-microsoft-com:office:smarttags" w:element="City">
          <w:r w:rsidRPr="00FD223D">
            <w:rPr>
              <w:rFonts w:ascii="Arial" w:hAnsi="Arial" w:cs="Arial"/>
            </w:rPr>
            <w:t>Paris</w:t>
          </w:r>
        </w:smartTag>
      </w:smartTag>
      <w:r w:rsidRPr="00FD223D">
        <w:rPr>
          <w:rFonts w:ascii="Arial" w:hAnsi="Arial" w:cs="Arial"/>
        </w:rPr>
        <w:t xml:space="preserve"> meeting.</w:t>
      </w:r>
    </w:p>
    <w:p w:rsidR="00593FB2" w:rsidRDefault="00593FB2" w:rsidP="008C632E">
      <w:pPr>
        <w:spacing w:before="100" w:after="100"/>
      </w:pPr>
      <w:r>
        <w:rPr>
          <w:rFonts w:ascii="Arial" w:hAnsi="Arial" w:cs="Arial"/>
          <w:b/>
          <w:bCs/>
        </w:rPr>
        <w:t xml:space="preserve">- Member Recruitment and Retention Committee: John Menton/Ralph Pais. </w:t>
      </w:r>
    </w:p>
    <w:p w:rsidR="00593FB2" w:rsidRDefault="00593FB2" w:rsidP="008C632E">
      <w:pPr>
        <w:spacing w:before="100" w:after="100"/>
        <w:rPr>
          <w:rFonts w:ascii="Arial" w:hAnsi="Arial" w:cs="Arial"/>
        </w:rPr>
      </w:pPr>
      <w:r>
        <w:rPr>
          <w:rFonts w:ascii="Arial" w:hAnsi="Arial" w:cs="Arial"/>
        </w:rPr>
        <w:t xml:space="preserve">   - </w:t>
      </w:r>
      <w:smartTag w:uri="urn:schemas-microsoft-com:office:smarttags" w:element="country-region">
        <w:r w:rsidRPr="00E435F4">
          <w:rPr>
            <w:rFonts w:ascii="Arial" w:hAnsi="Arial" w:cs="Arial"/>
            <w:u w:val="single"/>
          </w:rPr>
          <w:t>India</w:t>
        </w:r>
      </w:smartTag>
      <w:r w:rsidRPr="00E435F4">
        <w:rPr>
          <w:rFonts w:ascii="Arial" w:hAnsi="Arial" w:cs="Arial"/>
          <w:u w:val="single"/>
        </w:rPr>
        <w:t>:</w:t>
      </w:r>
      <w:r>
        <w:rPr>
          <w:rFonts w:ascii="Arial" w:hAnsi="Arial" w:cs="Arial"/>
        </w:rPr>
        <w:t xml:space="preserve"> Ralph said his partner Rajiv Patel traveled to </w:t>
      </w:r>
      <w:smartTag w:uri="urn:schemas-microsoft-com:office:smarttags" w:element="place">
        <w:smartTag w:uri="urn:schemas-microsoft-com:office:smarttags" w:element="country-region">
          <w:r>
            <w:rPr>
              <w:rFonts w:ascii="Arial" w:hAnsi="Arial" w:cs="Arial"/>
            </w:rPr>
            <w:t>India</w:t>
          </w:r>
        </w:smartTag>
      </w:smartTag>
      <w:r>
        <w:rPr>
          <w:rFonts w:ascii="Arial" w:hAnsi="Arial" w:cs="Arial"/>
        </w:rPr>
        <w:t>, discussing membership with Trilegal while there, resulting in Trilegal’s reiteration of their interest in joining TechLaw. While previously some TechLaw members were concerned about Trilegal’s (nonexclusive) relationship with Allen &amp; Overy, his due diligence suggests the opening of the Indian markets is still years away. He asked the board if the timing now is appropriate for issuing an invitation to Trilegal representatives to meet our membership (</w:t>
      </w:r>
      <w:smartTag w:uri="urn:schemas-microsoft-com:office:smarttags" w:element="place">
        <w:smartTag w:uri="urn:schemas-microsoft-com:office:smarttags" w:element="City">
          <w:r>
            <w:rPr>
              <w:rFonts w:ascii="Arial" w:hAnsi="Arial" w:cs="Arial"/>
            </w:rPr>
            <w:t>Paris</w:t>
          </w:r>
        </w:smartTag>
      </w:smartTag>
      <w:r>
        <w:rPr>
          <w:rFonts w:ascii="Arial" w:hAnsi="Arial" w:cs="Arial"/>
        </w:rPr>
        <w:t xml:space="preserve"> scheduling may be problematic at this late date).</w:t>
      </w:r>
    </w:p>
    <w:p w:rsidR="00593FB2" w:rsidRDefault="00593FB2" w:rsidP="008C632E">
      <w:pPr>
        <w:spacing w:before="100" w:after="100"/>
        <w:rPr>
          <w:rFonts w:ascii="Arial" w:hAnsi="Arial" w:cs="Arial"/>
        </w:rPr>
      </w:pPr>
      <w:r>
        <w:rPr>
          <w:rFonts w:ascii="Arial" w:hAnsi="Arial" w:cs="Arial"/>
        </w:rPr>
        <w:t xml:space="preserve"> Wolter opened the floor for comments pro or con; and hearing no negative reactions, he asked Ralph to issue the invitation. In summary, Wolter said we have a positive attitude toward Trilegal, and that the invitation is a logical next step, much like the </w:t>
      </w:r>
      <w:smartTag w:uri="urn:schemas-microsoft-com:office:smarttags" w:element="place">
        <w:smartTag w:uri="urn:schemas-microsoft-com:office:smarttags" w:element="City">
          <w:r>
            <w:rPr>
              <w:rFonts w:ascii="Arial" w:hAnsi="Arial" w:cs="Arial"/>
            </w:rPr>
            <w:t>Dallas</w:t>
          </w:r>
        </w:smartTag>
      </w:smartTag>
      <w:r>
        <w:rPr>
          <w:rFonts w:ascii="Arial" w:hAnsi="Arial" w:cs="Arial"/>
        </w:rPr>
        <w:t xml:space="preserve"> meeting when we became better acquainted with Plesner’s Niels Ellegaard and Yulchon’s Young-Hill Liew. In the event that Trilegal does come to Paris, Nelson Dong suggested that TechLaw members receive an advance one-to-two page dossier about that firm, its size and pedigree in light of the current Indian market, (for members to review in advance of meeting Trilegal representative(s).) Ralph said he will look into this.</w:t>
      </w:r>
    </w:p>
    <w:p w:rsidR="00593FB2" w:rsidRDefault="00593FB2" w:rsidP="008C632E">
      <w:pPr>
        <w:spacing w:before="100" w:after="100"/>
        <w:rPr>
          <w:rFonts w:ascii="Arial" w:hAnsi="Arial" w:cs="Arial"/>
        </w:rPr>
      </w:pPr>
      <w:r>
        <w:rPr>
          <w:rFonts w:ascii="Arial" w:hAnsi="Arial" w:cs="Arial"/>
        </w:rPr>
        <w:t xml:space="preserve">- </w:t>
      </w:r>
      <w:smartTag w:uri="urn:schemas-microsoft-com:office:smarttags" w:element="country-region">
        <w:r w:rsidRPr="00E435F4">
          <w:rPr>
            <w:rFonts w:ascii="Arial" w:hAnsi="Arial" w:cs="Arial"/>
            <w:u w:val="single"/>
          </w:rPr>
          <w:t>Sweden</w:t>
        </w:r>
      </w:smartTag>
      <w:r w:rsidRPr="00E435F4">
        <w:rPr>
          <w:rFonts w:ascii="Arial" w:hAnsi="Arial" w:cs="Arial"/>
          <w:u w:val="single"/>
        </w:rPr>
        <w:t xml:space="preserve"> Opportunity</w:t>
      </w:r>
      <w:r>
        <w:rPr>
          <w:rFonts w:ascii="Arial" w:hAnsi="Arial" w:cs="Arial"/>
        </w:rPr>
        <w:t xml:space="preserve">: Ralph requested guidance regarding the Swedish firm </w:t>
      </w:r>
      <w:smartTag w:uri="urn:schemas-microsoft-com:office:smarttags" w:element="place">
        <w:r>
          <w:rPr>
            <w:rFonts w:ascii="Arial" w:hAnsi="Arial" w:cs="Arial"/>
          </w:rPr>
          <w:t>Delphi</w:t>
        </w:r>
      </w:smartTag>
      <w:r>
        <w:rPr>
          <w:rFonts w:ascii="Arial" w:hAnsi="Arial" w:cs="Arial"/>
        </w:rPr>
        <w:t xml:space="preserve"> which recently inquired regarding TechLaw membership. </w:t>
      </w:r>
      <w:smartTag w:uri="urn:schemas-microsoft-com:office:smarttags" w:element="place">
        <w:smartTag w:uri="urn:schemas-microsoft-com:office:smarttags" w:element="country-region">
          <w:r>
            <w:rPr>
              <w:rFonts w:ascii="Arial" w:hAnsi="Arial" w:cs="Arial"/>
            </w:rPr>
            <w:t>Sweden</w:t>
          </w:r>
        </w:smartTag>
      </w:smartTag>
      <w:r>
        <w:rPr>
          <w:rFonts w:ascii="Arial" w:hAnsi="Arial" w:cs="Arial"/>
        </w:rPr>
        <w:t xml:space="preserve"> was not on our current priority list, but he said the opportunity may bear some additional consideration. Niels said a Swedish firm could prove valuable for TechLaw’s Nordic strategy, noting that of several potential well-regarded players, (including Vinge, Mannheimer Swartling, and Lindahl), he felt Vinge and Mannheimer Swartling’s larger size might lead to positive interest in TechLaw. Ralph reported he has had more experience with Vinge and Lindahl.  Nelson advised that while stronger candidates probably also exist, he can think of two other firms that might first be considered, or perhaps we should look at the markets on a case by case basis. Andreas advised he has worked with Vinge and Mannheimer, that Lindahl and Vinge are good in IT, and that </w:t>
      </w:r>
      <w:smartTag w:uri="urn:schemas-microsoft-com:office:smarttags" w:element="place">
        <w:r>
          <w:rPr>
            <w:rFonts w:ascii="Arial" w:hAnsi="Arial" w:cs="Arial"/>
          </w:rPr>
          <w:t>Delphi</w:t>
        </w:r>
      </w:smartTag>
      <w:r>
        <w:rPr>
          <w:rFonts w:ascii="Arial" w:hAnsi="Arial" w:cs="Arial"/>
        </w:rPr>
        <w:t xml:space="preserve"> has a good name/reputation. He said Mannheimer Swartling only does M&amp;A work in </w:t>
      </w:r>
      <w:smartTag w:uri="urn:schemas-microsoft-com:office:smarttags" w:element="place">
        <w:smartTag w:uri="urn:schemas-microsoft-com:office:smarttags" w:element="country-region">
          <w:r>
            <w:rPr>
              <w:rFonts w:ascii="Arial" w:hAnsi="Arial" w:cs="Arial"/>
            </w:rPr>
            <w:t>Germany</w:t>
          </w:r>
        </w:smartTag>
      </w:smartTag>
      <w:r>
        <w:rPr>
          <w:rFonts w:ascii="Arial" w:hAnsi="Arial" w:cs="Arial"/>
        </w:rPr>
        <w:t>. Ralph said we can proceed with discussions gradually after continued conversations with Niels and others.</w:t>
      </w:r>
    </w:p>
    <w:p w:rsidR="00593FB2" w:rsidRDefault="00593FB2" w:rsidP="008C632E">
      <w:pPr>
        <w:spacing w:before="100" w:after="100"/>
        <w:rPr>
          <w:rFonts w:ascii="Arial" w:hAnsi="Arial" w:cs="Arial"/>
        </w:rPr>
      </w:pPr>
      <w:r>
        <w:rPr>
          <w:rFonts w:ascii="Arial" w:hAnsi="Arial" w:cs="Arial"/>
        </w:rPr>
        <w:t xml:space="preserve">   -Target countries for 2011 – John Menton: </w:t>
      </w:r>
      <w:r>
        <w:rPr>
          <w:rFonts w:ascii="Arial" w:hAnsi="Arial" w:cs="Arial"/>
        </w:rPr>
        <w:br/>
        <w:t xml:space="preserve">John said his query email (sent out to our membership last month) yielded only one member’s recommendation for potential candidate firms in </w:t>
      </w:r>
      <w:smartTag w:uri="urn:schemas-microsoft-com:office:smarttags" w:element="country-region">
        <w:r>
          <w:rPr>
            <w:rFonts w:ascii="Arial" w:hAnsi="Arial" w:cs="Arial"/>
          </w:rPr>
          <w:t>Japan</w:t>
        </w:r>
      </w:smartTag>
      <w:r>
        <w:rPr>
          <w:rFonts w:ascii="Arial" w:hAnsi="Arial" w:cs="Arial"/>
        </w:rPr>
        <w:t xml:space="preserve">, </w:t>
      </w:r>
      <w:smartTag w:uri="urn:schemas-microsoft-com:office:smarttags" w:element="country-region">
        <w:r>
          <w:rPr>
            <w:rFonts w:ascii="Arial" w:hAnsi="Arial" w:cs="Arial"/>
          </w:rPr>
          <w:t>Russia</w:t>
        </w:r>
      </w:smartTag>
      <w:r>
        <w:rPr>
          <w:rFonts w:ascii="Arial" w:hAnsi="Arial" w:cs="Arial"/>
        </w:rPr>
        <w:t xml:space="preserve">, and </w:t>
      </w:r>
      <w:smartTag w:uri="urn:schemas-microsoft-com:office:smarttags" w:element="place">
        <w:smartTag w:uri="urn:schemas-microsoft-com:office:smarttags" w:element="country-region">
          <w:r>
            <w:rPr>
              <w:rFonts w:ascii="Arial" w:hAnsi="Arial" w:cs="Arial"/>
            </w:rPr>
            <w:t>Singapore</w:t>
          </w:r>
        </w:smartTag>
      </w:smartTag>
      <w:r>
        <w:rPr>
          <w:rFonts w:ascii="Arial" w:hAnsi="Arial" w:cs="Arial"/>
        </w:rPr>
        <w:t>. Wolter will send his suggestions as well.</w:t>
      </w:r>
    </w:p>
    <w:p w:rsidR="00593FB2" w:rsidRPr="00353097" w:rsidRDefault="00593FB2" w:rsidP="008C632E">
      <w:pPr>
        <w:spacing w:before="100" w:after="100"/>
        <w:rPr>
          <w:rFonts w:ascii="Arial" w:hAnsi="Arial" w:cs="Arial"/>
        </w:rPr>
      </w:pPr>
    </w:p>
    <w:p w:rsidR="00593FB2" w:rsidRPr="00A53086" w:rsidRDefault="00593FB2" w:rsidP="00A53086">
      <w:pPr>
        <w:autoSpaceDE w:val="0"/>
        <w:autoSpaceDN w:val="0"/>
        <w:adjustRightInd w:val="0"/>
        <w:rPr>
          <w:rFonts w:ascii="Arial" w:hAnsi="Arial" w:cs="Arial"/>
        </w:rPr>
      </w:pPr>
      <w:r>
        <w:rPr>
          <w:rFonts w:ascii="Arial" w:hAnsi="Arial" w:cs="Arial"/>
          <w:b/>
          <w:bCs/>
        </w:rPr>
        <w:t xml:space="preserve">- </w:t>
      </w:r>
      <w:r w:rsidRPr="00A53086">
        <w:rPr>
          <w:rFonts w:ascii="Arial" w:hAnsi="Arial" w:cs="Arial"/>
          <w:b/>
          <w:bCs/>
        </w:rPr>
        <w:t xml:space="preserve">Treasurer’s Update and Member Dues Report: </w:t>
      </w:r>
      <w:r w:rsidRPr="00A53086">
        <w:rPr>
          <w:rFonts w:ascii="Arial" w:hAnsi="Arial" w:cs="Arial"/>
          <w:bCs/>
        </w:rPr>
        <w:t>In Didier Sangiorgio’s absence, Lisa Skinner gave the following report:</w:t>
      </w:r>
      <w:r w:rsidRPr="00A53086">
        <w:rPr>
          <w:rFonts w:ascii="Arial" w:hAnsi="Arial" w:cs="Arial"/>
        </w:rPr>
        <w:t xml:space="preserve"> The operating cash balance was $228,338 as of February 28, 2011. Year to date income totaled $162,314 ($162,304 Membership Dues and $10 Interest). Total fees and out of pocket expenses totaled $30,963 as of February 28, 2011.  As of March 15, 2011, membership dues </w:t>
      </w:r>
      <w:r>
        <w:rPr>
          <w:rFonts w:ascii="Arial" w:hAnsi="Arial" w:cs="Arial"/>
        </w:rPr>
        <w:t>had</w:t>
      </w:r>
      <w:r w:rsidRPr="00A53086">
        <w:rPr>
          <w:rFonts w:ascii="Arial" w:hAnsi="Arial" w:cs="Arial"/>
        </w:rPr>
        <w:t xml:space="preserve"> been received from 15 firms, leaving four firms still to pay (one of which sent a clarification on wiring instructions February 7).</w:t>
      </w:r>
    </w:p>
    <w:p w:rsidR="00593FB2" w:rsidRDefault="00593FB2" w:rsidP="008C632E">
      <w:pPr>
        <w:spacing w:before="100" w:after="100"/>
        <w:rPr>
          <w:rFonts w:ascii="Arial" w:hAnsi="Arial" w:cs="Arial"/>
          <w:b/>
          <w:bCs/>
        </w:rPr>
      </w:pPr>
    </w:p>
    <w:p w:rsidR="00593FB2" w:rsidRDefault="00593FB2" w:rsidP="008C632E">
      <w:pPr>
        <w:spacing w:before="100" w:after="100"/>
      </w:pPr>
      <w:r>
        <w:rPr>
          <w:rFonts w:ascii="Arial" w:hAnsi="Arial" w:cs="Arial"/>
        </w:rPr>
        <w:t xml:space="preserve"> : </w:t>
      </w:r>
      <w:r>
        <w:rPr>
          <w:rFonts w:ascii="Arial" w:hAnsi="Arial" w:cs="Arial"/>
          <w:b/>
          <w:bCs/>
        </w:rPr>
        <w:t>- Miscellaneous</w:t>
      </w:r>
    </w:p>
    <w:p w:rsidR="00593FB2" w:rsidRPr="00AA31DC" w:rsidRDefault="00593FB2" w:rsidP="008C632E">
      <w:pPr>
        <w:spacing w:before="100" w:after="100"/>
        <w:rPr>
          <w:rFonts w:ascii="Arial" w:hAnsi="Arial" w:cs="Arial"/>
          <w:bCs/>
        </w:rPr>
      </w:pPr>
      <w:r>
        <w:rPr>
          <w:rFonts w:ascii="Arial" w:hAnsi="Arial" w:cs="Arial"/>
        </w:rPr>
        <w:t>   -</w:t>
      </w:r>
      <w:r>
        <w:rPr>
          <w:rFonts w:ascii="Arial" w:hAnsi="Arial" w:cs="Arial"/>
          <w:b/>
          <w:bCs/>
        </w:rPr>
        <w:t xml:space="preserve"> </w:t>
      </w:r>
      <w:r>
        <w:rPr>
          <w:rFonts w:ascii="Arial" w:hAnsi="Arial" w:cs="Arial"/>
          <w:u w:val="single"/>
        </w:rPr>
        <w:t>Website: Next Steps</w:t>
      </w:r>
      <w:r>
        <w:rPr>
          <w:rFonts w:ascii="Arial" w:hAnsi="Arial" w:cs="Arial"/>
        </w:rPr>
        <w:t xml:space="preserve">: </w:t>
      </w:r>
      <w:r w:rsidRPr="00AA31DC">
        <w:rPr>
          <w:rFonts w:ascii="Arial" w:hAnsi="Arial" w:cs="Arial"/>
          <w:bCs/>
        </w:rPr>
        <w:t xml:space="preserve">Wolter </w:t>
      </w:r>
      <w:r>
        <w:rPr>
          <w:rFonts w:ascii="Arial" w:hAnsi="Arial" w:cs="Arial"/>
          <w:bCs/>
        </w:rPr>
        <w:t xml:space="preserve">Bettink </w:t>
      </w:r>
      <w:r w:rsidRPr="00AA31DC">
        <w:rPr>
          <w:rFonts w:ascii="Arial" w:hAnsi="Arial" w:cs="Arial"/>
          <w:bCs/>
        </w:rPr>
        <w:t xml:space="preserve">reported that volunteers from </w:t>
      </w:r>
      <w:r>
        <w:rPr>
          <w:rFonts w:ascii="Arial" w:hAnsi="Arial" w:cs="Arial"/>
          <w:bCs/>
        </w:rPr>
        <w:t xml:space="preserve">Fenwick &amp; West, Haynes and Boone and Barnes &amp; Thornburgh </w:t>
      </w:r>
      <w:r w:rsidRPr="00AA31DC">
        <w:rPr>
          <w:rFonts w:ascii="Arial" w:hAnsi="Arial" w:cs="Arial"/>
          <w:bCs/>
        </w:rPr>
        <w:t xml:space="preserve">have provided </w:t>
      </w:r>
      <w:r>
        <w:rPr>
          <w:rFonts w:ascii="Arial" w:hAnsi="Arial" w:cs="Arial"/>
          <w:bCs/>
        </w:rPr>
        <w:t>texts for the Member Access area of the website</w:t>
      </w:r>
      <w:r w:rsidRPr="00AA31DC">
        <w:rPr>
          <w:rFonts w:ascii="Arial" w:hAnsi="Arial" w:cs="Arial"/>
          <w:bCs/>
        </w:rPr>
        <w:t>. The website updates continue, including the possibility of a different registration module for the next CLE (</w:t>
      </w:r>
      <w:smartTag w:uri="urn:schemas-microsoft-com:office:smarttags" w:element="place">
        <w:smartTag w:uri="urn:schemas-microsoft-com:office:smarttags" w:element="City">
          <w:r w:rsidRPr="00AA31DC">
            <w:rPr>
              <w:rFonts w:ascii="Arial" w:hAnsi="Arial" w:cs="Arial"/>
              <w:bCs/>
            </w:rPr>
            <w:t>Pittsburgh</w:t>
          </w:r>
        </w:smartTag>
      </w:smartTag>
      <w:r w:rsidRPr="00AA31DC">
        <w:rPr>
          <w:rFonts w:ascii="Arial" w:hAnsi="Arial" w:cs="Arial"/>
          <w:bCs/>
        </w:rPr>
        <w:t xml:space="preserve">). He anticipates </w:t>
      </w:r>
      <w:r>
        <w:rPr>
          <w:rFonts w:ascii="Arial" w:hAnsi="Arial" w:cs="Arial"/>
          <w:bCs/>
        </w:rPr>
        <w:t>that the Member Access part of the website will be ready to be demonstrated for</w:t>
      </w:r>
      <w:r w:rsidRPr="00AA31DC">
        <w:rPr>
          <w:rFonts w:ascii="Arial" w:hAnsi="Arial" w:cs="Arial"/>
          <w:bCs/>
        </w:rPr>
        <w:t xml:space="preserve"> the </w:t>
      </w:r>
      <w:smartTag w:uri="urn:schemas-microsoft-com:office:smarttags" w:element="City">
        <w:smartTag w:uri="urn:schemas-microsoft-com:office:smarttags" w:element="place">
          <w:r w:rsidRPr="00AA31DC">
            <w:rPr>
              <w:rFonts w:ascii="Arial" w:hAnsi="Arial" w:cs="Arial"/>
              <w:bCs/>
            </w:rPr>
            <w:t>Paris</w:t>
          </w:r>
        </w:smartTag>
      </w:smartTag>
      <w:r>
        <w:rPr>
          <w:rFonts w:ascii="Arial" w:hAnsi="Arial" w:cs="Arial"/>
          <w:bCs/>
        </w:rPr>
        <w:t xml:space="preserve"> board meeting</w:t>
      </w:r>
      <w:r w:rsidRPr="00AA31DC">
        <w:rPr>
          <w:rFonts w:ascii="Arial" w:hAnsi="Arial" w:cs="Arial"/>
          <w:bCs/>
        </w:rPr>
        <w:t xml:space="preserve">.  </w:t>
      </w:r>
    </w:p>
    <w:p w:rsidR="00593FB2" w:rsidRDefault="00593FB2" w:rsidP="008C632E">
      <w:pPr>
        <w:spacing w:before="100" w:after="100"/>
      </w:pPr>
      <w:r>
        <w:rPr>
          <w:rFonts w:ascii="Arial" w:hAnsi="Arial" w:cs="Arial"/>
          <w:b/>
          <w:bCs/>
        </w:rPr>
        <w:t>- Other Business</w:t>
      </w:r>
    </w:p>
    <w:p w:rsidR="00593FB2" w:rsidRDefault="00593FB2" w:rsidP="008C632E">
      <w:pPr>
        <w:spacing w:before="100" w:after="100"/>
        <w:rPr>
          <w:rFonts w:ascii="Arial" w:hAnsi="Arial" w:cs="Arial"/>
        </w:rPr>
      </w:pPr>
      <w:r>
        <w:rPr>
          <w:rFonts w:ascii="Arial" w:hAnsi="Arial" w:cs="Arial"/>
          <w:b/>
          <w:bCs/>
        </w:rPr>
        <w:t>   -</w:t>
      </w:r>
      <w:r>
        <w:rPr>
          <w:rFonts w:ascii="Arial" w:hAnsi="Arial" w:cs="Arial"/>
          <w:u w:val="single"/>
        </w:rPr>
        <w:t>Trend of national &amp; international mergers: effects on TechLaw</w:t>
      </w:r>
      <w:r>
        <w:rPr>
          <w:rFonts w:ascii="Arial" w:hAnsi="Arial" w:cs="Arial"/>
        </w:rPr>
        <w:t>: Wolter Bettink Wolter deferred this discussion to a later date to be designated.</w:t>
      </w:r>
    </w:p>
    <w:p w:rsidR="00593FB2" w:rsidRDefault="00593FB2" w:rsidP="008C632E">
      <w:pPr>
        <w:spacing w:before="100" w:after="100"/>
      </w:pPr>
      <w:r>
        <w:rPr>
          <w:rFonts w:ascii="Arial" w:hAnsi="Arial" w:cs="Arial"/>
        </w:rPr>
        <w:t>No other business was on the agenda.</w:t>
      </w:r>
    </w:p>
    <w:p w:rsidR="00593FB2" w:rsidRDefault="00593FB2" w:rsidP="008C632E">
      <w:pPr>
        <w:spacing w:before="100" w:after="100"/>
      </w:pPr>
      <w:r>
        <w:rPr>
          <w:rFonts w:ascii="Arial" w:hAnsi="Arial" w:cs="Arial"/>
          <w:b/>
          <w:bCs/>
        </w:rPr>
        <w:t>-Adjournment</w:t>
      </w:r>
    </w:p>
    <w:p w:rsidR="00593FB2" w:rsidRDefault="00593FB2" w:rsidP="008C632E">
      <w:pPr>
        <w:spacing w:before="100" w:after="100"/>
        <w:rPr>
          <w:rFonts w:ascii="Arial" w:hAnsi="Arial" w:cs="Arial"/>
          <w:sz w:val="20"/>
          <w:szCs w:val="20"/>
        </w:rPr>
      </w:pPr>
    </w:p>
    <w:p w:rsidR="00593FB2" w:rsidRDefault="00593FB2" w:rsidP="008C632E">
      <w:pPr>
        <w:rPr>
          <w:rFonts w:ascii="Arial" w:hAnsi="Arial" w:cs="Arial"/>
          <w:sz w:val="20"/>
          <w:szCs w:val="20"/>
        </w:rPr>
      </w:pPr>
    </w:p>
    <w:sectPr w:rsidR="00593FB2" w:rsidSect="00697CEE">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FB2" w:rsidRDefault="00593FB2">
      <w:r>
        <w:separator/>
      </w:r>
    </w:p>
  </w:endnote>
  <w:endnote w:type="continuationSeparator" w:id="0">
    <w:p w:rsidR="00593FB2" w:rsidRDefault="00593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B2" w:rsidRDefault="00593FB2" w:rsidP="00C14E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3FB2" w:rsidRDefault="00593FB2" w:rsidP="00D65A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B2" w:rsidRDefault="00593FB2" w:rsidP="00C94B5D">
    <w:pPr>
      <w:framePr w:w="283" w:h="2835" w:hSpace="141" w:wrap="around" w:vAnchor="page" w:hAnchor="page" w:x="681" w:yAlign="bottom"/>
      <w:tabs>
        <w:tab w:val="center" w:pos="4320"/>
        <w:tab w:val="right" w:pos="8640"/>
      </w:tabs>
      <w:ind w:left="283"/>
      <w:textDirection w:val="btLr"/>
    </w:pPr>
    <w:bookmarkStart w:id="0" w:name="WorkSiteReference11"/>
    <w:r>
      <w:rPr>
        <w:sz w:val="14"/>
      </w:rPr>
      <w:t>005/3797022.1</w:t>
    </w:r>
    <w:bookmarkEnd w:id="0"/>
  </w:p>
  <w:p w:rsidR="00593FB2" w:rsidRDefault="00593FB2" w:rsidP="00C14E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3FB2" w:rsidRDefault="00593FB2" w:rsidP="00D65A8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FB2" w:rsidRDefault="00593FB2">
      <w:r>
        <w:separator/>
      </w:r>
    </w:p>
  </w:footnote>
  <w:footnote w:type="continuationSeparator" w:id="0">
    <w:p w:rsidR="00593FB2" w:rsidRDefault="00593F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AF9"/>
    <w:rsid w:val="00002E89"/>
    <w:rsid w:val="00045ADA"/>
    <w:rsid w:val="000505B1"/>
    <w:rsid w:val="0005794F"/>
    <w:rsid w:val="000671AE"/>
    <w:rsid w:val="000748DC"/>
    <w:rsid w:val="00085F16"/>
    <w:rsid w:val="000E5745"/>
    <w:rsid w:val="0015400C"/>
    <w:rsid w:val="00157BFB"/>
    <w:rsid w:val="00196F59"/>
    <w:rsid w:val="001A1C50"/>
    <w:rsid w:val="001B6C3A"/>
    <w:rsid w:val="001D0EBA"/>
    <w:rsid w:val="00205E20"/>
    <w:rsid w:val="00225B5C"/>
    <w:rsid w:val="0023603A"/>
    <w:rsid w:val="002443CC"/>
    <w:rsid w:val="00256784"/>
    <w:rsid w:val="00263EBF"/>
    <w:rsid w:val="003005FB"/>
    <w:rsid w:val="00320A36"/>
    <w:rsid w:val="00321F82"/>
    <w:rsid w:val="00335087"/>
    <w:rsid w:val="00353097"/>
    <w:rsid w:val="003536F4"/>
    <w:rsid w:val="003B2E99"/>
    <w:rsid w:val="00412BA9"/>
    <w:rsid w:val="00432E8A"/>
    <w:rsid w:val="004566E3"/>
    <w:rsid w:val="00461D91"/>
    <w:rsid w:val="004F5AF9"/>
    <w:rsid w:val="00515347"/>
    <w:rsid w:val="00516A4E"/>
    <w:rsid w:val="00542C1B"/>
    <w:rsid w:val="00587851"/>
    <w:rsid w:val="00593FB2"/>
    <w:rsid w:val="00597955"/>
    <w:rsid w:val="0061638C"/>
    <w:rsid w:val="006346FB"/>
    <w:rsid w:val="00692594"/>
    <w:rsid w:val="00693B65"/>
    <w:rsid w:val="006979E6"/>
    <w:rsid w:val="00697CEE"/>
    <w:rsid w:val="006F2958"/>
    <w:rsid w:val="00780BD7"/>
    <w:rsid w:val="0079312E"/>
    <w:rsid w:val="007F43D3"/>
    <w:rsid w:val="00800341"/>
    <w:rsid w:val="008118E4"/>
    <w:rsid w:val="00824B3B"/>
    <w:rsid w:val="00851696"/>
    <w:rsid w:val="00867E0D"/>
    <w:rsid w:val="008720A4"/>
    <w:rsid w:val="008C632E"/>
    <w:rsid w:val="008E115C"/>
    <w:rsid w:val="009353C9"/>
    <w:rsid w:val="00942290"/>
    <w:rsid w:val="00955BDC"/>
    <w:rsid w:val="009577F1"/>
    <w:rsid w:val="00991E2A"/>
    <w:rsid w:val="00997401"/>
    <w:rsid w:val="00A17CB1"/>
    <w:rsid w:val="00A35E10"/>
    <w:rsid w:val="00A40116"/>
    <w:rsid w:val="00A46CF4"/>
    <w:rsid w:val="00A53086"/>
    <w:rsid w:val="00A764D3"/>
    <w:rsid w:val="00AA31DC"/>
    <w:rsid w:val="00AB3F08"/>
    <w:rsid w:val="00AE4A6F"/>
    <w:rsid w:val="00B068ED"/>
    <w:rsid w:val="00B222EF"/>
    <w:rsid w:val="00B30984"/>
    <w:rsid w:val="00B40352"/>
    <w:rsid w:val="00B43139"/>
    <w:rsid w:val="00B439F5"/>
    <w:rsid w:val="00B44F8B"/>
    <w:rsid w:val="00B87195"/>
    <w:rsid w:val="00B91EE3"/>
    <w:rsid w:val="00B95817"/>
    <w:rsid w:val="00BA2895"/>
    <w:rsid w:val="00BA7B9A"/>
    <w:rsid w:val="00BB0C26"/>
    <w:rsid w:val="00C14EA0"/>
    <w:rsid w:val="00C94B5D"/>
    <w:rsid w:val="00C9600B"/>
    <w:rsid w:val="00D4765F"/>
    <w:rsid w:val="00D50E1B"/>
    <w:rsid w:val="00D65A8A"/>
    <w:rsid w:val="00D71C54"/>
    <w:rsid w:val="00DA189F"/>
    <w:rsid w:val="00DD185E"/>
    <w:rsid w:val="00E2416E"/>
    <w:rsid w:val="00E32DFA"/>
    <w:rsid w:val="00E435F4"/>
    <w:rsid w:val="00E47E90"/>
    <w:rsid w:val="00E51874"/>
    <w:rsid w:val="00E606F8"/>
    <w:rsid w:val="00E90D1E"/>
    <w:rsid w:val="00EF0D6D"/>
    <w:rsid w:val="00EF0FC6"/>
    <w:rsid w:val="00F33FC5"/>
    <w:rsid w:val="00F7398E"/>
    <w:rsid w:val="00FB2512"/>
    <w:rsid w:val="00FD22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F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32E8A"/>
    <w:rPr>
      <w:rFonts w:ascii="Tahoma" w:hAnsi="Tahoma" w:cs="Tahoma"/>
      <w:sz w:val="16"/>
      <w:szCs w:val="16"/>
    </w:rPr>
  </w:style>
  <w:style w:type="character" w:customStyle="1" w:styleId="BalloonTextChar">
    <w:name w:val="Balloon Text Char"/>
    <w:basedOn w:val="DefaultParagraphFont"/>
    <w:link w:val="BalloonText"/>
    <w:uiPriority w:val="99"/>
    <w:semiHidden/>
    <w:rsid w:val="00A242E2"/>
    <w:rPr>
      <w:sz w:val="0"/>
      <w:szCs w:val="0"/>
    </w:rPr>
  </w:style>
  <w:style w:type="paragraph" w:styleId="Footer">
    <w:name w:val="footer"/>
    <w:basedOn w:val="Normal"/>
    <w:link w:val="FooterChar"/>
    <w:uiPriority w:val="99"/>
    <w:rsid w:val="00D65A8A"/>
    <w:pPr>
      <w:tabs>
        <w:tab w:val="center" w:pos="4320"/>
        <w:tab w:val="right" w:pos="8640"/>
      </w:tabs>
    </w:pPr>
  </w:style>
  <w:style w:type="character" w:customStyle="1" w:styleId="FooterChar">
    <w:name w:val="Footer Char"/>
    <w:basedOn w:val="DefaultParagraphFont"/>
    <w:link w:val="Footer"/>
    <w:uiPriority w:val="99"/>
    <w:semiHidden/>
    <w:rsid w:val="00A242E2"/>
    <w:rPr>
      <w:sz w:val="24"/>
      <w:szCs w:val="24"/>
    </w:rPr>
  </w:style>
  <w:style w:type="character" w:styleId="PageNumber">
    <w:name w:val="page number"/>
    <w:basedOn w:val="DefaultParagraphFont"/>
    <w:uiPriority w:val="99"/>
    <w:rsid w:val="00D65A8A"/>
    <w:rPr>
      <w:rFonts w:cs="Times New Roman"/>
    </w:rPr>
  </w:style>
  <w:style w:type="paragraph" w:styleId="Header">
    <w:name w:val="header"/>
    <w:basedOn w:val="Normal"/>
    <w:link w:val="HeaderChar"/>
    <w:uiPriority w:val="99"/>
    <w:rsid w:val="00C94B5D"/>
    <w:pPr>
      <w:tabs>
        <w:tab w:val="center" w:pos="4536"/>
        <w:tab w:val="right" w:pos="9072"/>
      </w:tabs>
    </w:pPr>
  </w:style>
  <w:style w:type="character" w:customStyle="1" w:styleId="HeaderChar">
    <w:name w:val="Header Char"/>
    <w:basedOn w:val="DefaultParagraphFont"/>
    <w:link w:val="Header"/>
    <w:uiPriority w:val="99"/>
    <w:locked/>
    <w:rsid w:val="00C94B5D"/>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38917208">
      <w:marLeft w:val="0"/>
      <w:marRight w:val="0"/>
      <w:marTop w:val="0"/>
      <w:marBottom w:val="0"/>
      <w:divBdr>
        <w:top w:val="none" w:sz="0" w:space="0" w:color="auto"/>
        <w:left w:val="none" w:sz="0" w:space="0" w:color="auto"/>
        <w:bottom w:val="none" w:sz="0" w:space="0" w:color="auto"/>
        <w:right w:val="none" w:sz="0" w:space="0" w:color="auto"/>
      </w:divBdr>
      <w:divsChild>
        <w:div w:id="638917205">
          <w:marLeft w:val="0"/>
          <w:marRight w:val="0"/>
          <w:marTop w:val="0"/>
          <w:marBottom w:val="0"/>
          <w:divBdr>
            <w:top w:val="none" w:sz="0" w:space="0" w:color="auto"/>
            <w:left w:val="none" w:sz="0" w:space="0" w:color="auto"/>
            <w:bottom w:val="none" w:sz="0" w:space="0" w:color="auto"/>
            <w:right w:val="none" w:sz="0" w:space="0" w:color="auto"/>
          </w:divBdr>
          <w:divsChild>
            <w:div w:id="638917207">
              <w:marLeft w:val="0"/>
              <w:marRight w:val="0"/>
              <w:marTop w:val="0"/>
              <w:marBottom w:val="0"/>
              <w:divBdr>
                <w:top w:val="none" w:sz="0" w:space="0" w:color="auto"/>
                <w:left w:val="none" w:sz="0" w:space="0" w:color="auto"/>
                <w:bottom w:val="none" w:sz="0" w:space="0" w:color="auto"/>
                <w:right w:val="none" w:sz="0" w:space="0" w:color="auto"/>
              </w:divBdr>
              <w:divsChild>
                <w:div w:id="638917206">
                  <w:marLeft w:val="0"/>
                  <w:marRight w:val="0"/>
                  <w:marTop w:val="0"/>
                  <w:marBottom w:val="0"/>
                  <w:divBdr>
                    <w:top w:val="none" w:sz="0" w:space="0" w:color="auto"/>
                    <w:left w:val="none" w:sz="0" w:space="0" w:color="auto"/>
                    <w:bottom w:val="none" w:sz="0" w:space="0" w:color="auto"/>
                    <w:right w:val="none" w:sz="0" w:space="0" w:color="auto"/>
                  </w:divBdr>
                  <w:divsChild>
                    <w:div w:id="6389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961</Words>
  <Characters>5479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TechLaw Board Conference Call</dc:title>
  <dc:subject/>
  <dc:creator/>
  <cp:keywords/>
  <dc:description/>
  <cp:lastModifiedBy>Ryan Willis</cp:lastModifiedBy>
  <cp:revision>2</cp:revision>
  <dcterms:created xsi:type="dcterms:W3CDTF">2011-04-12T12:05:00Z</dcterms:created>
  <dcterms:modified xsi:type="dcterms:W3CDTF">2011-04-12T12:05:00Z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oFAAXzy6TWd89pjyrBs8rkWrjKRec2GYHpYG8uUgaVgTEGzYtdeYlyiehGVUfZsHoUOUHdBdQbKXYDysLoIrLACqdnNsVuGAirFZDH9DKnW6lY2oDyw9uKFCunl4mgVrnQOa7nhw/Tu2P3FftWtZfmmFwCGssBXKbLzGhtWPTzhZ4L7/IE5RKKPpKTVb9ErO5aEBDa0WhyAetnf5TmlLpKAtgtShEoDTDFqGOUsCCvG5FZnl3rH+phKI6</vt:lpwstr>
  </property>
  <property fmtid="{D5CDD505-2E9C-101B-9397-08002B2CF9AE}" pid="3" name="MAIL_MSG_ID2">
    <vt:lpwstr>dL+aBYVeF8bYoKE3DcsgTDdU5meTWSwpJl0JrZvNUDUZys5Z13Vg5lxUJ8dUOxXaLgMoZKASa+K69vpoWhOAMChu9zmFBTJ+EZ9AhwMpSkW</vt:lpwstr>
  </property>
  <property fmtid="{D5CDD505-2E9C-101B-9397-08002B2CF9AE}" pid="4" name="RESPONSE_SENDER_NAME">
    <vt:lpwstr>4AAAMz5NUQ6P8J+jmPFcdPR/OsA6X94mjrEVPp2zm+fTbVCXVI6a63ZEdA==</vt:lpwstr>
  </property>
  <property fmtid="{D5CDD505-2E9C-101B-9397-08002B2CF9AE}" pid="5" name="EMAIL_OWNER_ADDRESS">
    <vt:lpwstr>4AAAMz5NUQ6P8J8fwgLdrLrdH8s9qTAmXwSnTWQCHp09EETYB/HoHF0y1Q==</vt:lpwstr>
  </property>
</Properties>
</file>